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numPr>
          <w:ilvl w:val="0"/>
          <w:numId w:val="1"/>
        </w:numPr>
        <w:spacing w:line="276" w:lineRule="auto"/>
        <w:ind w:left="709"/>
        <w:rPr>
          <w:rFonts w:ascii="Arial" w:cs="Arial" w:eastAsia="Arial" w:hAnsi="Arial"/>
          <w:sz w:val="30"/>
          <w:szCs w:val="30"/>
        </w:rPr>
      </w:pPr>
      <w:bookmarkStart w:colFirst="0" w:colLast="0" w:name="_heading=h.eogwbj3ot6za" w:id="0"/>
      <w:bookmarkEnd w:id="0"/>
      <w:r w:rsidDel="00000000" w:rsidR="00000000" w:rsidRPr="00000000">
        <w:rPr>
          <w:rFonts w:ascii="Arial" w:cs="Arial" w:eastAsia="Arial" w:hAnsi="Arial"/>
          <w:sz w:val="30"/>
          <w:szCs w:val="30"/>
          <w:vertAlign w:val="baseline"/>
          <w:rtl w:val="0"/>
        </w:rPr>
        <w:t xml:space="preserve">Úvodní ustanovení</w:t>
      </w:r>
    </w:p>
    <w:p w:rsidR="00000000" w:rsidDel="00000000" w:rsidP="00000000" w:rsidRDefault="00000000" w:rsidRPr="00000000" w14:paraId="00000002">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Tyto všeobecné platební podmínky organizace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ff"/>
          <w:rtl w:val="0"/>
        </w:rPr>
        <w:t xml:space="preserve">VO Slezská Orlice, z. s.</w:t>
      </w:r>
      <w:r w:rsidDel="00000000" w:rsidR="00000000" w:rsidRPr="00000000">
        <w:rPr>
          <w:rtl w:val="0"/>
        </w:rPr>
      </w:r>
    </w:p>
    <w:p w:rsidR="00000000" w:rsidDel="00000000" w:rsidP="00000000" w:rsidRDefault="00000000" w:rsidRPr="00000000" w14:paraId="00000003">
      <w:pPr>
        <w:spacing w:line="276" w:lineRule="auto"/>
        <w:ind w:left="2160" w:firstLine="0"/>
        <w:rPr>
          <w:rFonts w:ascii="Arial" w:cs="Arial" w:eastAsia="Arial" w:hAnsi="Arial"/>
          <w:color w:val="0000ff"/>
          <w:highlight w:val="white"/>
          <w:vertAlign w:val="baseline"/>
        </w:rPr>
      </w:pPr>
      <w:r w:rsidDel="00000000" w:rsidR="00000000" w:rsidRPr="00000000">
        <w:rPr>
          <w:rFonts w:ascii="Arial" w:cs="Arial" w:eastAsia="Arial" w:hAnsi="Arial"/>
          <w:vertAlign w:val="baseline"/>
          <w:rtl w:val="0"/>
        </w:rPr>
        <w:t xml:space="preserve">IČO: </w:t>
      </w:r>
      <w:r w:rsidDel="00000000" w:rsidR="00000000" w:rsidRPr="00000000">
        <w:rPr>
          <w:rFonts w:ascii="Arial" w:cs="Arial" w:eastAsia="Arial" w:hAnsi="Arial"/>
          <w:color w:val="0000ff"/>
          <w:highlight w:val="white"/>
          <w:rtl w:val="0"/>
        </w:rPr>
        <w:t xml:space="preserve">05428173</w:t>
      </w:r>
      <w:r w:rsidDel="00000000" w:rsidR="00000000" w:rsidRPr="00000000">
        <w:rPr>
          <w:rtl w:val="0"/>
        </w:rPr>
      </w:r>
    </w:p>
    <w:p w:rsidR="00000000" w:rsidDel="00000000" w:rsidP="00000000" w:rsidRDefault="00000000" w:rsidRPr="00000000" w14:paraId="00000004">
      <w:pPr>
        <w:spacing w:line="276" w:lineRule="auto"/>
        <w:ind w:left="2160" w:firstLine="0"/>
        <w:rPr>
          <w:rFonts w:ascii="Arial" w:cs="Arial" w:eastAsia="Arial" w:hAnsi="Arial"/>
          <w:color w:val="0000ff"/>
          <w:highlight w:val="white"/>
          <w:vertAlign w:val="baseline"/>
        </w:rPr>
      </w:pPr>
      <w:r w:rsidDel="00000000" w:rsidR="00000000" w:rsidRPr="00000000">
        <w:rPr>
          <w:rFonts w:ascii="Arial" w:cs="Arial" w:eastAsia="Arial" w:hAnsi="Arial"/>
          <w:vertAlign w:val="baseline"/>
          <w:rtl w:val="0"/>
        </w:rPr>
        <w:t xml:space="preserve">DIČ: </w:t>
      </w:r>
      <w:r w:rsidDel="00000000" w:rsidR="00000000" w:rsidRPr="00000000">
        <w:rPr>
          <w:rFonts w:ascii="Arial" w:cs="Arial" w:eastAsia="Arial" w:hAnsi="Arial"/>
          <w:color w:val="0000ff"/>
          <w:highlight w:val="white"/>
          <w:rtl w:val="0"/>
        </w:rPr>
        <w:t xml:space="preserve">CZ05428173</w:t>
      </w:r>
      <w:r w:rsidDel="00000000" w:rsidR="00000000" w:rsidRPr="00000000">
        <w:rPr>
          <w:rtl w:val="0"/>
        </w:rPr>
      </w:r>
    </w:p>
    <w:p w:rsidR="00000000" w:rsidDel="00000000" w:rsidP="00000000" w:rsidRDefault="00000000" w:rsidRPr="00000000" w14:paraId="00000005">
      <w:pPr>
        <w:spacing w:line="276" w:lineRule="auto"/>
        <w:ind w:left="21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se sídlem: </w:t>
      </w:r>
      <w:r w:rsidDel="00000000" w:rsidR="00000000" w:rsidRPr="00000000">
        <w:rPr>
          <w:rFonts w:ascii="Arial" w:cs="Arial" w:eastAsia="Arial" w:hAnsi="Arial"/>
          <w:color w:val="0000ff"/>
          <w:highlight w:val="white"/>
          <w:rtl w:val="0"/>
        </w:rPr>
        <w:t xml:space="preserve">Budovatelů 1967/3, Pod Bezručovým vrchem, Krnov 794 01</w:t>
      </w:r>
      <w:r w:rsidDel="00000000" w:rsidR="00000000" w:rsidRPr="00000000">
        <w:rPr>
          <w:rFonts w:ascii="Arial" w:cs="Arial" w:eastAsia="Arial" w:hAnsi="Arial"/>
          <w:highlight w:val="white"/>
          <w:vertAlign w:val="baseline"/>
          <w:rtl w:val="0"/>
        </w:rPr>
        <w:t xml:space="preserve"> </w:t>
      </w:r>
      <w:r w:rsidDel="00000000" w:rsidR="00000000" w:rsidRPr="00000000">
        <w:rPr>
          <w:rFonts w:ascii="Arial" w:cs="Arial" w:eastAsia="Arial" w:hAnsi="Arial"/>
          <w:vertAlign w:val="baseline"/>
          <w:rtl w:val="0"/>
        </w:rPr>
        <w:t xml:space="preserve">(„organizace“)</w:t>
      </w:r>
    </w:p>
    <w:p w:rsidR="00000000" w:rsidDel="00000000" w:rsidP="00000000" w:rsidRDefault="00000000" w:rsidRPr="00000000" w14:paraId="00000006">
      <w:pPr>
        <w:spacing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upravují zejména podmínky platby členství v organizaci a jiných plateb uskutečněných ve prospěch organizace přes webovou aplikaci (</w:t>
      </w:r>
      <w:hyperlink r:id="rId7">
        <w:r w:rsidDel="00000000" w:rsidR="00000000" w:rsidRPr="00000000">
          <w:rPr>
            <w:rFonts w:ascii="Arial" w:cs="Arial" w:eastAsia="Arial" w:hAnsi="Arial"/>
            <w:color w:val="1155cc"/>
            <w:u w:val="single"/>
            <w:rtl w:val="0"/>
          </w:rPr>
          <w:t xml:space="preserve">https://klub.voslezskaorlice.cz</w:t>
        </w:r>
      </w:hyperlink>
      <w:r w:rsidDel="00000000" w:rsidR="00000000" w:rsidRPr="00000000">
        <w:rPr>
          <w:rFonts w:ascii="Arial" w:cs="Arial" w:eastAsia="Arial" w:hAnsi="Arial"/>
          <w:vertAlign w:val="baseline"/>
          <w:rtl w:val="0"/>
        </w:rPr>
        <w:t xml:space="preserve">) dále jen „aplikace“. Provozovatelem aplikace je organizace.</w:t>
      </w:r>
    </w:p>
    <w:p w:rsidR="00000000" w:rsidDel="00000000" w:rsidP="00000000" w:rsidRDefault="00000000" w:rsidRPr="00000000" w14:paraId="00000007">
      <w:pPr>
        <w:numPr>
          <w:ilvl w:val="1"/>
          <w:numId w:val="1"/>
        </w:numPr>
        <w:spacing w:line="276" w:lineRule="auto"/>
        <w:ind w:left="709"/>
        <w:rPr>
          <w:rFonts w:ascii="Arial" w:cs="Arial" w:eastAsia="Arial" w:hAnsi="Arial"/>
        </w:rPr>
      </w:pPr>
      <w:bookmarkStart w:colFirst="0" w:colLast="0" w:name="_heading=h.xck18ac53qxg" w:id="1"/>
      <w:bookmarkEnd w:id="1"/>
      <w:r w:rsidDel="00000000" w:rsidR="00000000" w:rsidRPr="00000000">
        <w:rPr>
          <w:rFonts w:ascii="Arial" w:cs="Arial" w:eastAsia="Arial" w:hAnsi="Arial"/>
          <w:vertAlign w:val="baseline"/>
          <w:rtl w:val="0"/>
        </w:rPr>
        <w:t xml:space="preserve">Členem organizace se může stát fyzická osoba dle podmínek stanovených vnitřními předpisy organizace („člen“). Jednou z povinností člena je povinnost zaplatit základní poplatek za členství v organizaci či jiné poplatky s členstvím v organizaci související (</w:t>
      </w:r>
      <w:r w:rsidDel="00000000" w:rsidR="00000000" w:rsidRPr="00000000">
        <w:rPr>
          <w:rFonts w:ascii="Arial" w:cs="Arial" w:eastAsia="Arial" w:hAnsi="Arial"/>
          <w:rtl w:val="0"/>
        </w:rPr>
        <w:t xml:space="preserve">„členské příspěvky</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8">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Tyto podmínky stanovují pravidla pro úhradu jakýchkoli plateb ve prospěch organizace, např. se jedná o:</w:t>
      </w:r>
    </w:p>
    <w:p w:rsidR="00000000" w:rsidDel="00000000" w:rsidP="00000000" w:rsidRDefault="00000000" w:rsidRPr="00000000" w14:paraId="00000009">
      <w:pPr>
        <w:numPr>
          <w:ilvl w:val="2"/>
          <w:numId w:val="1"/>
        </w:numPr>
        <w:spacing w:line="276" w:lineRule="auto"/>
        <w:ind w:left="1418" w:hanging="709"/>
        <w:rPr>
          <w:rFonts w:ascii="Arial" w:cs="Arial" w:eastAsia="Arial" w:hAnsi="Arial"/>
        </w:rPr>
      </w:pPr>
      <w:bookmarkStart w:colFirst="0" w:colLast="0" w:name="_heading=h.3h359gzfjz9z" w:id="2"/>
      <w:bookmarkEnd w:id="2"/>
      <w:r w:rsidDel="00000000" w:rsidR="00000000" w:rsidRPr="00000000">
        <w:rPr>
          <w:rFonts w:ascii="Arial" w:cs="Arial" w:eastAsia="Arial" w:hAnsi="Arial"/>
          <w:vertAlign w:val="baseline"/>
          <w:rtl w:val="0"/>
        </w:rPr>
        <w:t xml:space="preserve">poplatek za členství;</w:t>
      </w:r>
    </w:p>
    <w:p w:rsidR="00000000" w:rsidDel="00000000" w:rsidP="00000000" w:rsidRDefault="00000000" w:rsidRPr="00000000" w14:paraId="0000000A">
      <w:pPr>
        <w:numPr>
          <w:ilvl w:val="2"/>
          <w:numId w:val="1"/>
        </w:numPr>
        <w:spacing w:line="276" w:lineRule="auto"/>
        <w:ind w:left="1418" w:hanging="709"/>
        <w:rPr>
          <w:rFonts w:ascii="Arial" w:cs="Arial" w:eastAsia="Arial" w:hAnsi="Arial"/>
        </w:rPr>
      </w:pPr>
      <w:bookmarkStart w:colFirst="0" w:colLast="0" w:name="_heading=h.dnd2mgcwgo8o" w:id="3"/>
      <w:bookmarkEnd w:id="3"/>
      <w:r w:rsidDel="00000000" w:rsidR="00000000" w:rsidRPr="00000000">
        <w:rPr>
          <w:rFonts w:ascii="Arial" w:cs="Arial" w:eastAsia="Arial" w:hAnsi="Arial"/>
          <w:rtl w:val="0"/>
        </w:rPr>
        <w:t xml:space="preserve">nepravidelné </w:t>
      </w:r>
      <w:r w:rsidDel="00000000" w:rsidR="00000000" w:rsidRPr="00000000">
        <w:rPr>
          <w:rFonts w:ascii="Arial" w:cs="Arial" w:eastAsia="Arial" w:hAnsi="Arial"/>
          <w:vertAlign w:val="baseline"/>
          <w:rtl w:val="0"/>
        </w:rPr>
        <w:t xml:space="preserve">poplatky za startovné na soutěžích, soustředění, tábory, a jiné akce organizace, společnou dopravu, dále za vybavení a oblečení („další poplatky“);</w:t>
      </w:r>
    </w:p>
    <w:p w:rsidR="00000000" w:rsidDel="00000000" w:rsidP="00000000" w:rsidRDefault="00000000" w:rsidRPr="00000000" w14:paraId="0000000B">
      <w:pPr>
        <w:numPr>
          <w:ilvl w:val="2"/>
          <w:numId w:val="1"/>
        </w:numPr>
        <w:spacing w:line="276" w:lineRule="auto"/>
        <w:ind w:left="1418" w:hanging="709"/>
        <w:rPr>
          <w:rFonts w:ascii="Arial" w:cs="Arial" w:eastAsia="Arial" w:hAnsi="Arial"/>
        </w:rPr>
      </w:pPr>
      <w:bookmarkStart w:colFirst="0" w:colLast="0" w:name="_heading=h.1i7bfcpog94" w:id="4"/>
      <w:bookmarkEnd w:id="4"/>
      <w:r w:rsidDel="00000000" w:rsidR="00000000" w:rsidRPr="00000000">
        <w:rPr>
          <w:rFonts w:ascii="Arial" w:cs="Arial" w:eastAsia="Arial" w:hAnsi="Arial"/>
          <w:vertAlign w:val="baseline"/>
          <w:rtl w:val="0"/>
        </w:rPr>
        <w:t xml:space="preserve">prodej brandového (klubového/vlastního) oblečení a jiných předmětů členům i jiným osobám („kupující“);</w:t>
      </w:r>
    </w:p>
    <w:p w:rsidR="00000000" w:rsidDel="00000000" w:rsidP="00000000" w:rsidRDefault="00000000" w:rsidRPr="00000000" w14:paraId="0000000C">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(vše společně dále jako „platby“).</w:t>
      </w:r>
    </w:p>
    <w:p w:rsidR="00000000" w:rsidDel="00000000" w:rsidP="00000000" w:rsidRDefault="00000000" w:rsidRPr="00000000" w14:paraId="0000000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2"/>
        <w:numPr>
          <w:ilvl w:val="0"/>
          <w:numId w:val="1"/>
        </w:numPr>
        <w:spacing w:line="276" w:lineRule="auto"/>
        <w:ind w:left="709"/>
        <w:rPr>
          <w:rFonts w:ascii="Arial" w:cs="Arial" w:eastAsia="Arial" w:hAnsi="Arial"/>
          <w:sz w:val="30"/>
          <w:szCs w:val="30"/>
        </w:rPr>
      </w:pPr>
      <w:bookmarkStart w:colFirst="0" w:colLast="0" w:name="_heading=h.7nlrthy4g2kh" w:id="5"/>
      <w:bookmarkEnd w:id="5"/>
      <w:r w:rsidDel="00000000" w:rsidR="00000000" w:rsidRPr="00000000">
        <w:rPr>
          <w:rFonts w:ascii="Arial" w:cs="Arial" w:eastAsia="Arial" w:hAnsi="Arial"/>
          <w:sz w:val="30"/>
          <w:szCs w:val="30"/>
          <w:vertAlign w:val="baseline"/>
          <w:rtl w:val="0"/>
        </w:rPr>
        <w:t xml:space="preserve">Úhrada plateb</w:t>
      </w:r>
    </w:p>
    <w:p w:rsidR="00000000" w:rsidDel="00000000" w:rsidP="00000000" w:rsidRDefault="00000000" w:rsidRPr="00000000" w14:paraId="0000000F">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Platby je možné uhradit prostřednictvím platební brány GoPay („platební brána“). Nebo </w:t>
      </w:r>
      <w:r w:rsidDel="00000000" w:rsidR="00000000" w:rsidRPr="00000000">
        <w:rPr>
          <w:rFonts w:ascii="Arial" w:cs="Arial" w:eastAsia="Arial" w:hAnsi="Arial"/>
          <w:rtl w:val="0"/>
        </w:rPr>
        <w:t xml:space="preserve">převodem na účet s informacemi k platbám v aplikaci.</w:t>
      </w:r>
      <w:r w:rsidDel="00000000" w:rsidR="00000000" w:rsidRPr="00000000">
        <w:rPr>
          <w:rtl w:val="0"/>
        </w:rPr>
      </w:r>
    </w:p>
    <w:p w:rsidR="00000000" w:rsidDel="00000000" w:rsidP="00000000" w:rsidRDefault="00000000" w:rsidRPr="00000000" w14:paraId="00000010">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Fungování a pravidla platební brány se řídí předpisy a podmínkami externího dodavatele.</w:t>
      </w:r>
    </w:p>
    <w:p w:rsidR="00000000" w:rsidDel="00000000" w:rsidP="00000000" w:rsidRDefault="00000000" w:rsidRPr="00000000" w14:paraId="00000011">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Platba je považována za zaplacenou v okamžiku, kdy je příslušná částka připsána prostřednictvím platební brány na příslušné konto. Po přijetí platby vystaví organizace doklad o přijaté platbě, a zašle ho členovi notifikací do aplikace nebo na kontaktní e-mail.</w:t>
      </w:r>
      <w:r w:rsidDel="00000000" w:rsidR="00000000" w:rsidRPr="00000000">
        <w:rPr>
          <w:rtl w:val="0"/>
        </w:rPr>
      </w:r>
    </w:p>
    <w:p w:rsidR="00000000" w:rsidDel="00000000" w:rsidP="00000000" w:rsidRDefault="00000000" w:rsidRPr="00000000" w14:paraId="00000012">
      <w:pPr>
        <w:pStyle w:val="Heading2"/>
        <w:numPr>
          <w:ilvl w:val="0"/>
          <w:numId w:val="1"/>
        </w:numPr>
        <w:spacing w:line="276" w:lineRule="auto"/>
        <w:ind w:left="709"/>
        <w:rPr>
          <w:rFonts w:ascii="Arial" w:cs="Arial" w:eastAsia="Arial" w:hAnsi="Arial"/>
          <w:sz w:val="30"/>
          <w:szCs w:val="30"/>
        </w:rPr>
      </w:pPr>
      <w:bookmarkStart w:colFirst="0" w:colLast="0" w:name="_heading=h.jrv4b7vq9xl1" w:id="6"/>
      <w:bookmarkEnd w:id="6"/>
      <w:r w:rsidDel="00000000" w:rsidR="00000000" w:rsidRPr="00000000">
        <w:rPr>
          <w:rFonts w:ascii="Arial" w:cs="Arial" w:eastAsia="Arial" w:hAnsi="Arial"/>
          <w:sz w:val="30"/>
          <w:szCs w:val="30"/>
          <w:vertAlign w:val="baseline"/>
          <w:rtl w:val="0"/>
        </w:rPr>
        <w:t xml:space="preserve">Poplatky</w:t>
      </w:r>
    </w:p>
    <w:p w:rsidR="00000000" w:rsidDel="00000000" w:rsidP="00000000" w:rsidRDefault="00000000" w:rsidRPr="00000000" w14:paraId="00000013">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Pro poplatky hrazené členem dle odst. </w:t>
      </w:r>
      <w:hyperlink w:anchor="bookmark=id.7pkse5emt71x">
        <w:r w:rsidDel="00000000" w:rsidR="00000000" w:rsidRPr="00000000">
          <w:rPr>
            <w:rFonts w:ascii="Arial" w:cs="Arial" w:eastAsia="Arial" w:hAnsi="Arial"/>
            <w:color w:val="1155cc"/>
            <w:u w:val="single"/>
            <w:vertAlign w:val="baseline"/>
            <w:rtl w:val="0"/>
          </w:rPr>
          <w:t xml:space="preserve">1.3.1</w:t>
        </w:r>
      </w:hyperlink>
      <w:r w:rsidDel="00000000" w:rsidR="00000000" w:rsidRPr="00000000">
        <w:rPr>
          <w:rFonts w:ascii="Arial" w:cs="Arial" w:eastAsia="Arial" w:hAnsi="Arial"/>
          <w:vertAlign w:val="baseline"/>
          <w:rtl w:val="0"/>
        </w:rPr>
        <w:t xml:space="preserve"> a </w:t>
      </w:r>
      <w:hyperlink w:anchor="bookmark=id.qgyp0jwuuox6">
        <w:r w:rsidDel="00000000" w:rsidR="00000000" w:rsidRPr="00000000">
          <w:rPr>
            <w:rFonts w:ascii="Arial" w:cs="Arial" w:eastAsia="Arial" w:hAnsi="Arial"/>
            <w:color w:val="1155cc"/>
            <w:u w:val="single"/>
            <w:vertAlign w:val="baseline"/>
            <w:rtl w:val="0"/>
          </w:rPr>
          <w:t xml:space="preserve">1.3.2</w:t>
        </w:r>
      </w:hyperlink>
      <w:r w:rsidDel="00000000" w:rsidR="00000000" w:rsidRPr="00000000">
        <w:rPr>
          <w:rFonts w:ascii="Arial" w:cs="Arial" w:eastAsia="Arial" w:hAnsi="Arial"/>
          <w:vertAlign w:val="baseline"/>
          <w:rtl w:val="0"/>
        </w:rPr>
        <w:t xml:space="preserve"> těchto podmínek platí, že se jedná o vztahy mezi organizací a jeho členy či mezi organizací a třetími osobami vyplývající z vnitřních předpisů organizace či rozhodnutí jejích orgánů. Člen či třetí osoba plní povinnosti v podobě úhrady poplatků dobrovolně a na základě svého členství v organizaci či jiné skutečnosti související s činností organizace.</w:t>
      </w:r>
    </w:p>
    <w:p w:rsidR="00000000" w:rsidDel="00000000" w:rsidP="00000000" w:rsidRDefault="00000000" w:rsidRPr="00000000" w14:paraId="00000014">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Tyto podmínky neupravují práva a povinnosti členů ani třetích osob, nýbrž popisují způsob úhrady poplatku za členství a dalších poplatků prostřednictvím platební brány.</w:t>
      </w:r>
    </w:p>
    <w:p w:rsidR="00000000" w:rsidDel="00000000" w:rsidP="00000000" w:rsidRDefault="00000000" w:rsidRPr="00000000" w14:paraId="00000015">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Platební brána je jednou z možností úhrady poplatku za členství a dalších poplatků poskytnutou organizací, tyto podmínky však nevylučují právo organizace zvolit jiný způsob úhrady či umožnit alternativní způsob úhrady.</w:t>
      </w:r>
    </w:p>
    <w:p w:rsidR="00000000" w:rsidDel="00000000" w:rsidP="00000000" w:rsidRDefault="00000000" w:rsidRPr="00000000" w14:paraId="00000016">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O vrácení již uhrazeného poplatku na žádost člena či třetí osoby rozhoduje orgán organizace dle vnitřních předpisů a rozhodnutí organizace.</w:t>
      </w:r>
    </w:p>
    <w:p w:rsidR="00000000" w:rsidDel="00000000" w:rsidP="00000000" w:rsidRDefault="00000000" w:rsidRPr="00000000" w14:paraId="0000001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8">
      <w:pPr>
        <w:pStyle w:val="Heading2"/>
        <w:numPr>
          <w:ilvl w:val="0"/>
          <w:numId w:val="1"/>
        </w:numPr>
        <w:spacing w:line="276" w:lineRule="auto"/>
        <w:ind w:left="709"/>
        <w:rPr>
          <w:rFonts w:ascii="Arial" w:cs="Arial" w:eastAsia="Arial" w:hAnsi="Arial"/>
          <w:sz w:val="30"/>
          <w:szCs w:val="30"/>
        </w:rPr>
      </w:pPr>
      <w:bookmarkStart w:colFirst="0" w:colLast="0" w:name="_heading=h.dkri1w2s7ezd" w:id="7"/>
      <w:bookmarkEnd w:id="7"/>
      <w:r w:rsidDel="00000000" w:rsidR="00000000" w:rsidRPr="00000000">
        <w:rPr>
          <w:rFonts w:ascii="Arial" w:cs="Arial" w:eastAsia="Arial" w:hAnsi="Arial"/>
          <w:sz w:val="30"/>
          <w:szCs w:val="30"/>
          <w:vertAlign w:val="baseline"/>
          <w:rtl w:val="0"/>
        </w:rPr>
        <w:t xml:space="preserve">O</w:t>
      </w:r>
      <w:r w:rsidDel="00000000" w:rsidR="00000000" w:rsidRPr="00000000">
        <w:rPr>
          <w:rFonts w:ascii="Arial" w:cs="Arial" w:eastAsia="Arial" w:hAnsi="Arial"/>
          <w:sz w:val="30"/>
          <w:szCs w:val="30"/>
          <w:rtl w:val="0"/>
        </w:rPr>
        <w:t xml:space="preserve">chrana osobních údajů</w:t>
      </w:r>
      <w:r w:rsidDel="00000000" w:rsidR="00000000" w:rsidRPr="00000000">
        <w:rPr>
          <w:rtl w:val="0"/>
        </w:rPr>
      </w:r>
    </w:p>
    <w:p w:rsidR="00000000" w:rsidDel="00000000" w:rsidP="00000000" w:rsidRDefault="00000000" w:rsidRPr="00000000" w14:paraId="00000019">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Ochrana osobních údajů probíhá v souladu s Nařízením Evropského parlamentu a Rady 2016/679 o ochraně fyzických osob v souvislosti se zpracováním osobních údajů a o volném pohybu těchto údajů a o zrušení směrnice 95/46/ES (obecné nařízení o ochraně osobních údajů) a v souladu se zákonem č. 110/2019 Sb., o zpracování osobních údajů. Více informací o zpracování osobních údajů je uvedeno na webu nebo v aplikaci organizace.</w:t>
      </w: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B">
      <w:pPr>
        <w:pStyle w:val="Heading3"/>
        <w:numPr>
          <w:ilvl w:val="0"/>
          <w:numId w:val="1"/>
        </w:numPr>
        <w:spacing w:line="264" w:lineRule="auto"/>
        <w:ind w:left="709"/>
        <w:rPr>
          <w:rFonts w:ascii="Arial" w:cs="Arial" w:eastAsia="Arial" w:hAnsi="Arial"/>
          <w:sz w:val="30"/>
          <w:szCs w:val="30"/>
        </w:rPr>
      </w:pPr>
      <w:bookmarkStart w:colFirst="0" w:colLast="0" w:name="_heading=h.efqj354g9bk9" w:id="8"/>
      <w:bookmarkEnd w:id="8"/>
      <w:r w:rsidDel="00000000" w:rsidR="00000000" w:rsidRPr="00000000">
        <w:rPr>
          <w:rFonts w:ascii="Arial" w:cs="Arial" w:eastAsia="Arial" w:hAnsi="Arial"/>
          <w:sz w:val="30"/>
          <w:szCs w:val="30"/>
          <w:rtl w:val="0"/>
        </w:rPr>
        <w:t xml:space="preserve">Uživatelský účet</w:t>
      </w:r>
    </w:p>
    <w:p w:rsidR="00000000" w:rsidDel="00000000" w:rsidP="00000000" w:rsidRDefault="00000000" w:rsidRPr="00000000" w14:paraId="0000001C">
      <w:pPr>
        <w:pStyle w:val="Heading3"/>
        <w:numPr>
          <w:ilvl w:val="1"/>
          <w:numId w:val="1"/>
        </w:numPr>
        <w:spacing w:line="264" w:lineRule="auto"/>
        <w:ind w:left="709"/>
        <w:rPr>
          <w:sz w:val="24"/>
          <w:szCs w:val="24"/>
        </w:rPr>
      </w:pPr>
      <w:bookmarkStart w:colFirst="0" w:colLast="0" w:name="_heading=h.7d2ldllbdbbu" w:id="9"/>
      <w:bookmarkEnd w:id="9"/>
      <w:r w:rsidDel="00000000" w:rsidR="00000000" w:rsidRPr="00000000">
        <w:rPr>
          <w:rFonts w:ascii="Arial" w:cs="Arial" w:eastAsia="Arial" w:hAnsi="Arial"/>
          <w:b w:val="0"/>
          <w:bCs w:val="0"/>
          <w:sz w:val="24"/>
          <w:szCs w:val="24"/>
          <w:rtl w:val="0"/>
        </w:rPr>
        <w:t xml:space="preserve">Na základě registrace kupujícího provedené na webové stránce může kupující přistupovat do svého uživatelského rozhraní. Ze svého uživatelského rozhraní může kupující provádět objednávání zboží (dále jen „</w:t>
      </w:r>
      <w:r w:rsidDel="00000000" w:rsidR="00000000" w:rsidRPr="00000000">
        <w:rPr>
          <w:rFonts w:ascii="Arial" w:cs="Arial" w:eastAsia="Arial" w:hAnsi="Arial"/>
          <w:sz w:val="24"/>
          <w:szCs w:val="24"/>
          <w:rtl w:val="0"/>
        </w:rPr>
        <w:t xml:space="preserve">uživatelský účet</w:t>
      </w:r>
      <w:r w:rsidDel="00000000" w:rsidR="00000000" w:rsidRPr="00000000">
        <w:rPr>
          <w:rFonts w:ascii="Arial" w:cs="Arial" w:eastAsia="Arial" w:hAnsi="Arial"/>
          <w:b w:val="0"/>
          <w:bCs w:val="0"/>
          <w:sz w:val="24"/>
          <w:szCs w:val="24"/>
          <w:rtl w:val="0"/>
        </w:rPr>
        <w:t xml:space="preserve">“). Zároveň může kupující provádět objednávání zboží též bez registrace přímo z webového rozhraní obchodu.</w:t>
      </w:r>
    </w:p>
    <w:p w:rsidR="00000000" w:rsidDel="00000000" w:rsidP="00000000" w:rsidRDefault="00000000" w:rsidRPr="00000000" w14:paraId="0000001D">
      <w:pPr>
        <w:pStyle w:val="Heading3"/>
        <w:numPr>
          <w:ilvl w:val="1"/>
          <w:numId w:val="1"/>
        </w:numPr>
        <w:spacing w:line="264" w:lineRule="auto"/>
        <w:ind w:left="709"/>
        <w:rPr>
          <w:rFonts w:ascii="Arial" w:cs="Arial" w:eastAsia="Arial" w:hAnsi="Arial"/>
          <w:sz w:val="24"/>
          <w:szCs w:val="24"/>
        </w:rPr>
      </w:pPr>
      <w:bookmarkStart w:colFirst="0" w:colLast="0" w:name="_heading=h.8bnysa58yf1a" w:id="10"/>
      <w:bookmarkEnd w:id="10"/>
      <w:r w:rsidDel="00000000" w:rsidR="00000000" w:rsidRPr="00000000">
        <w:rPr>
          <w:rFonts w:ascii="Arial" w:cs="Arial" w:eastAsia="Arial" w:hAnsi="Arial"/>
          <w:b w:val="0"/>
          <w:bCs w:val="0"/>
          <w:sz w:val="24"/>
          <w:szCs w:val="24"/>
          <w:rtl w:val="0"/>
        </w:rPr>
        <w:t xml:space="preserve">Při registraci na webové platformě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r w:rsidDel="00000000" w:rsidR="00000000" w:rsidRPr="00000000">
        <w:rPr>
          <w:rtl w:val="0"/>
        </w:rPr>
      </w:r>
    </w:p>
    <w:p w:rsidR="00000000" w:rsidDel="00000000" w:rsidP="00000000" w:rsidRDefault="00000000" w:rsidRPr="00000000" w14:paraId="0000001E">
      <w:pPr>
        <w:pStyle w:val="Heading3"/>
        <w:numPr>
          <w:ilvl w:val="0"/>
          <w:numId w:val="1"/>
        </w:numPr>
        <w:spacing w:line="264" w:lineRule="auto"/>
        <w:ind w:left="709"/>
        <w:rPr>
          <w:rFonts w:ascii="Arial" w:cs="Arial" w:eastAsia="Arial" w:hAnsi="Arial"/>
          <w:sz w:val="30"/>
          <w:szCs w:val="30"/>
        </w:rPr>
      </w:pPr>
      <w:bookmarkStart w:colFirst="0" w:colLast="0" w:name="_heading=h.6cx9nekp0i5d" w:id="11"/>
      <w:bookmarkEnd w:id="11"/>
      <w:r w:rsidDel="00000000" w:rsidR="00000000" w:rsidRPr="00000000">
        <w:rPr>
          <w:rFonts w:ascii="Arial" w:cs="Arial" w:eastAsia="Arial" w:hAnsi="Arial"/>
          <w:sz w:val="30"/>
          <w:szCs w:val="30"/>
          <w:rtl w:val="0"/>
        </w:rPr>
        <w:t xml:space="preserve">Zasílání obchodních sdělení a ukládání cookies</w:t>
      </w:r>
    </w:p>
    <w:p w:rsidR="00000000" w:rsidDel="00000000" w:rsidP="00000000" w:rsidRDefault="00000000" w:rsidRPr="00000000" w14:paraId="0000001F">
      <w:pPr>
        <w:pStyle w:val="Heading3"/>
        <w:numPr>
          <w:ilvl w:val="0"/>
          <w:numId w:val="1"/>
        </w:numPr>
        <w:spacing w:line="264" w:lineRule="auto"/>
        <w:ind w:left="709"/>
        <w:rPr>
          <w:rFonts w:ascii="Arial" w:cs="Arial" w:eastAsia="Arial" w:hAnsi="Arial"/>
          <w:sz w:val="24"/>
          <w:szCs w:val="24"/>
        </w:rPr>
      </w:pPr>
      <w:bookmarkStart w:colFirst="0" w:colLast="0" w:name="_heading=h.qmrwottxnq9l" w:id="12"/>
      <w:bookmarkEnd w:id="12"/>
      <w:r w:rsidDel="00000000" w:rsidR="00000000" w:rsidRPr="00000000">
        <w:rPr>
          <w:rtl w:val="0"/>
        </w:rPr>
      </w:r>
    </w:p>
    <w:p w:rsidR="00000000" w:rsidDel="00000000" w:rsidP="00000000" w:rsidRDefault="00000000" w:rsidRPr="00000000" w14:paraId="00000020">
      <w:pPr>
        <w:pStyle w:val="Heading3"/>
        <w:numPr>
          <w:ilvl w:val="1"/>
          <w:numId w:val="1"/>
        </w:numPr>
        <w:spacing w:line="264" w:lineRule="auto"/>
        <w:ind w:left="709"/>
        <w:rPr>
          <w:rFonts w:ascii="Arial" w:cs="Arial" w:eastAsia="Arial" w:hAnsi="Arial"/>
          <w:sz w:val="24"/>
          <w:szCs w:val="24"/>
        </w:rPr>
      </w:pPr>
      <w:bookmarkStart w:colFirst="0" w:colLast="0" w:name="_heading=h.c6zc4atra6h2" w:id="13"/>
      <w:bookmarkEnd w:id="13"/>
      <w:r w:rsidDel="00000000" w:rsidR="00000000" w:rsidRPr="00000000">
        <w:rPr>
          <w:rFonts w:ascii="Arial" w:cs="Arial" w:eastAsia="Arial" w:hAnsi="Arial"/>
          <w:b w:val="0"/>
          <w:bCs w:val="0"/>
          <w:sz w:val="24"/>
          <w:szCs w:val="24"/>
          <w:rtl w:val="0"/>
        </w:rPr>
        <w:t xml:space="preserve">Kupující souhlasí ve smyslu ustanovení § 7 odst. 2 zákona č. 480/2004 Sb., o některých službách informační společnosti a o změně některých zákonů (zákon o některých službách informační společnosti), ve znění pozdějších předpisů, se zasíláním obchodních sdělení prodávajícím na elektronickou adresu či na telefonní číslo kupujícího. Svou informační povinnost vůči kupujícímu ve smyslu čl. 13 nařízení GDPR související se zpracováním osobních údajů kupujícího pro účely zasílání obchodních sdělení plní prodávající prostřednictvím zvláštního dokumentu.</w:t>
      </w:r>
    </w:p>
    <w:p w:rsidR="00000000" w:rsidDel="00000000" w:rsidP="00000000" w:rsidRDefault="00000000" w:rsidRPr="00000000" w14:paraId="00000021">
      <w:pPr>
        <w:pStyle w:val="Heading3"/>
        <w:numPr>
          <w:ilvl w:val="0"/>
          <w:numId w:val="1"/>
        </w:numPr>
        <w:spacing w:line="264" w:lineRule="auto"/>
        <w:ind w:left="709"/>
        <w:rPr>
          <w:rFonts w:ascii="Arial" w:cs="Arial" w:eastAsia="Arial" w:hAnsi="Arial"/>
          <w:sz w:val="26"/>
          <w:szCs w:val="26"/>
        </w:rPr>
      </w:pPr>
      <w:bookmarkStart w:colFirst="0" w:colLast="0" w:name="_heading=h.nzh2db5fb97a" w:id="14"/>
      <w:bookmarkEnd w:id="14"/>
      <w:r w:rsidDel="00000000" w:rsidR="00000000" w:rsidRPr="00000000">
        <w:rPr>
          <w:rFonts w:ascii="Arial" w:cs="Arial" w:eastAsia="Arial" w:hAnsi="Arial"/>
          <w:sz w:val="26"/>
          <w:szCs w:val="26"/>
          <w:rtl w:val="0"/>
        </w:rPr>
        <w:t xml:space="preserve">Ochrana osobních údajů</w:t>
      </w:r>
    </w:p>
    <w:p w:rsidR="00000000" w:rsidDel="00000000" w:rsidP="00000000" w:rsidRDefault="00000000" w:rsidRPr="00000000" w14:paraId="00000022">
      <w:pPr>
        <w:pStyle w:val="Heading3"/>
        <w:numPr>
          <w:ilvl w:val="1"/>
          <w:numId w:val="1"/>
        </w:numPr>
        <w:spacing w:line="264" w:lineRule="auto"/>
        <w:ind w:left="709"/>
        <w:rPr>
          <w:rFonts w:ascii="Arial" w:cs="Arial" w:eastAsia="Arial" w:hAnsi="Arial"/>
          <w:sz w:val="26"/>
          <w:szCs w:val="26"/>
        </w:rPr>
      </w:pPr>
      <w:bookmarkStart w:colFirst="0" w:colLast="0" w:name="_heading=h.ut4vpryw5gn5" w:id="15"/>
      <w:bookmarkEnd w:id="15"/>
      <w:r w:rsidDel="00000000" w:rsidR="00000000" w:rsidRPr="00000000">
        <w:rPr>
          <w:rFonts w:ascii="Arial" w:cs="Arial" w:eastAsia="Arial" w:hAnsi="Arial"/>
          <w:b w:val="0"/>
          <w:bCs w:val="0"/>
          <w:sz w:val="24"/>
          <w:szCs w:val="24"/>
          <w:rtl w:val="0"/>
        </w:rPr>
        <w:t xml:space="preserve">Svou informační povinnost vůči kupujícímu ve smyslu čl. 13 Nařízení Evropského parlamentu a Rady 2016/679 o ochraně fyzických osob v souvislosti se zpracováním osobních údajů a o volném pohybu těchto údajů a o zrušení směrnice 95/46/ES (obecné nařízení o ochraně osobních údajů) (dále jen „</w:t>
      </w:r>
      <w:r w:rsidDel="00000000" w:rsidR="00000000" w:rsidRPr="00000000">
        <w:rPr>
          <w:rFonts w:ascii="Arial" w:cs="Arial" w:eastAsia="Arial" w:hAnsi="Arial"/>
          <w:sz w:val="24"/>
          <w:szCs w:val="24"/>
          <w:rtl w:val="0"/>
        </w:rPr>
        <w:t xml:space="preserve">nařízení GDPR</w:t>
      </w:r>
      <w:r w:rsidDel="00000000" w:rsidR="00000000" w:rsidRPr="00000000">
        <w:rPr>
          <w:rFonts w:ascii="Arial" w:cs="Arial" w:eastAsia="Arial" w:hAnsi="Arial"/>
          <w:b w:val="0"/>
          <w:bCs w:val="0"/>
          <w:sz w:val="24"/>
          <w:szCs w:val="24"/>
          <w:rtl w:val="0"/>
        </w:rPr>
        <w:t xml:space="preserve">“) související se zpracováním osobních údajů kupujícího pro účely plnění kupní smlouvy, pro účely jednání o kupní smlouvě a pro účely plnění veřejnoprávních povinností prodávajícího plní prodávající prostřednictvím samostatné stránky.</w:t>
      </w:r>
    </w:p>
    <w:p w:rsidR="00000000" w:rsidDel="00000000" w:rsidP="00000000" w:rsidRDefault="00000000" w:rsidRPr="00000000" w14:paraId="00000023">
      <w:pPr>
        <w:pStyle w:val="Heading3"/>
        <w:numPr>
          <w:ilvl w:val="0"/>
          <w:numId w:val="1"/>
        </w:numPr>
        <w:spacing w:line="264" w:lineRule="auto"/>
        <w:ind w:left="709"/>
        <w:rPr>
          <w:rFonts w:ascii="Arial" w:cs="Arial" w:eastAsia="Arial" w:hAnsi="Arial"/>
          <w:sz w:val="26"/>
          <w:szCs w:val="26"/>
        </w:rPr>
      </w:pPr>
      <w:bookmarkStart w:colFirst="0" w:colLast="0" w:name="_heading=h.wl8kskupqxts" w:id="16"/>
      <w:bookmarkEnd w:id="16"/>
      <w:r w:rsidDel="00000000" w:rsidR="00000000" w:rsidRPr="00000000">
        <w:rPr>
          <w:rFonts w:ascii="Arial" w:cs="Arial" w:eastAsia="Arial" w:hAnsi="Arial"/>
          <w:sz w:val="26"/>
          <w:szCs w:val="26"/>
          <w:rtl w:val="0"/>
        </w:rPr>
        <w:t xml:space="preserve">Další práva a povinnosti smluvních stran</w:t>
      </w:r>
    </w:p>
    <w:p w:rsidR="00000000" w:rsidDel="00000000" w:rsidP="00000000" w:rsidRDefault="00000000" w:rsidRPr="00000000" w14:paraId="00000024">
      <w:pPr>
        <w:pStyle w:val="Heading3"/>
        <w:numPr>
          <w:ilvl w:val="1"/>
          <w:numId w:val="1"/>
        </w:numPr>
        <w:spacing w:line="264" w:lineRule="auto"/>
        <w:ind w:left="709"/>
        <w:rPr>
          <w:rFonts w:ascii="Arial" w:cs="Arial" w:eastAsia="Arial" w:hAnsi="Arial"/>
          <w:sz w:val="26"/>
          <w:szCs w:val="26"/>
        </w:rPr>
      </w:pPr>
      <w:bookmarkStart w:colFirst="0" w:colLast="0" w:name="_heading=h.grcctaet8roj" w:id="17"/>
      <w:bookmarkEnd w:id="17"/>
      <w:r w:rsidDel="00000000" w:rsidR="00000000" w:rsidRPr="00000000">
        <w:rPr>
          <w:rFonts w:ascii="Arial" w:cs="Arial" w:eastAsia="Arial" w:hAnsi="Arial"/>
          <w:b w:val="0"/>
          <w:bCs w:val="0"/>
          <w:sz w:val="24"/>
          <w:szCs w:val="24"/>
          <w:rtl w:val="0"/>
        </w:rPr>
        <w:t xml:space="preserve">Kupující nabývá vlastnictví ke zboží zaplacením celé kupní ceny zboží.</w:t>
      </w:r>
    </w:p>
    <w:p w:rsidR="00000000" w:rsidDel="00000000" w:rsidP="00000000" w:rsidRDefault="00000000" w:rsidRPr="00000000" w14:paraId="00000025">
      <w:pPr>
        <w:pStyle w:val="Heading3"/>
        <w:numPr>
          <w:ilvl w:val="1"/>
          <w:numId w:val="1"/>
        </w:numPr>
        <w:spacing w:line="264" w:lineRule="auto"/>
        <w:ind w:left="709"/>
        <w:rPr>
          <w:rFonts w:ascii="Arial" w:cs="Arial" w:eastAsia="Arial" w:hAnsi="Arial"/>
          <w:sz w:val="26"/>
          <w:szCs w:val="26"/>
        </w:rPr>
      </w:pPr>
      <w:bookmarkStart w:colFirst="0" w:colLast="0" w:name="_heading=h.ti06urt73puc" w:id="18"/>
      <w:bookmarkEnd w:id="18"/>
      <w:r w:rsidDel="00000000" w:rsidR="00000000" w:rsidRPr="00000000">
        <w:rPr>
          <w:rFonts w:ascii="Arial" w:cs="Arial" w:eastAsia="Arial" w:hAnsi="Arial"/>
          <w:b w:val="0"/>
          <w:bCs w:val="0"/>
          <w:sz w:val="24"/>
          <w:szCs w:val="24"/>
          <w:rtl w:val="0"/>
        </w:rPr>
        <w:t xml:space="preserve">Prodávající není ve vztahu ke kupujícímu vázán žádnými kodexy chování ve smyslu ustanovení § 1826 odst. 1 písm. e) občanského zákoníku.</w:t>
      </w:r>
    </w:p>
    <w:p w:rsidR="00000000" w:rsidDel="00000000" w:rsidP="00000000" w:rsidRDefault="00000000" w:rsidRPr="00000000" w14:paraId="00000026">
      <w:pPr>
        <w:pStyle w:val="Heading3"/>
        <w:numPr>
          <w:ilvl w:val="1"/>
          <w:numId w:val="1"/>
        </w:numPr>
        <w:spacing w:line="264" w:lineRule="auto"/>
        <w:ind w:left="709"/>
        <w:rPr>
          <w:rFonts w:ascii="Arial" w:cs="Arial" w:eastAsia="Arial" w:hAnsi="Arial"/>
          <w:sz w:val="26"/>
          <w:szCs w:val="26"/>
        </w:rPr>
      </w:pPr>
      <w:bookmarkStart w:colFirst="0" w:colLast="0" w:name="_heading=h.2wbfdanugtkl" w:id="19"/>
      <w:bookmarkEnd w:id="19"/>
      <w:r w:rsidDel="00000000" w:rsidR="00000000" w:rsidRPr="00000000">
        <w:rPr>
          <w:rFonts w:ascii="Arial" w:cs="Arial" w:eastAsia="Arial" w:hAnsi="Arial"/>
          <w:b w:val="0"/>
          <w:bCs w:val="0"/>
          <w:sz w:val="24"/>
          <w:szCs w:val="24"/>
          <w:rtl w:val="0"/>
        </w:rPr>
        <w:t xml:space="preserve">Vyřizování stížností spotřebitelů zajišťuje prodávající prostřednictvím elektronické adresy oddílu. Informaci o vyřízení stížnosti kupujícího zašle prodávající na elektronickou adresu kupujícího.</w:t>
      </w:r>
    </w:p>
    <w:p w:rsidR="00000000" w:rsidDel="00000000" w:rsidP="00000000" w:rsidRDefault="00000000" w:rsidRPr="00000000" w14:paraId="00000027">
      <w:pPr>
        <w:pStyle w:val="Heading3"/>
        <w:numPr>
          <w:ilvl w:val="0"/>
          <w:numId w:val="1"/>
        </w:numPr>
        <w:spacing w:line="264" w:lineRule="auto"/>
        <w:ind w:left="709"/>
        <w:rPr>
          <w:rFonts w:ascii="Arial" w:cs="Arial" w:eastAsia="Arial" w:hAnsi="Arial"/>
          <w:sz w:val="18"/>
          <w:szCs w:val="18"/>
        </w:rPr>
      </w:pPr>
      <w:bookmarkStart w:colFirst="0" w:colLast="0" w:name="_heading=h.8klmy2tl2gaw" w:id="20"/>
      <w:bookmarkEnd w:id="20"/>
      <w:r w:rsidDel="00000000" w:rsidR="00000000" w:rsidRPr="00000000">
        <w:rPr>
          <w:rFonts w:ascii="Arial" w:cs="Arial" w:eastAsia="Arial" w:hAnsi="Arial"/>
          <w:sz w:val="30"/>
          <w:szCs w:val="30"/>
          <w:rtl w:val="0"/>
        </w:rPr>
        <w:t xml:space="preserve">Uzavření kupní smlouvy</w:t>
      </w:r>
    </w:p>
    <w:p w:rsidR="00000000" w:rsidDel="00000000" w:rsidP="00000000" w:rsidRDefault="00000000" w:rsidRPr="00000000" w14:paraId="00000028">
      <w:pPr>
        <w:pStyle w:val="Heading3"/>
        <w:numPr>
          <w:ilvl w:val="1"/>
          <w:numId w:val="1"/>
        </w:numPr>
        <w:spacing w:line="264" w:lineRule="auto"/>
        <w:ind w:left="709"/>
        <w:rPr>
          <w:rFonts w:ascii="Arial" w:cs="Arial" w:eastAsia="Arial" w:hAnsi="Arial"/>
          <w:sz w:val="18"/>
          <w:szCs w:val="18"/>
        </w:rPr>
      </w:pPr>
      <w:bookmarkStart w:colFirst="0" w:colLast="0" w:name="_heading=h.9mlb25xwneal" w:id="21"/>
      <w:bookmarkEnd w:id="21"/>
      <w:r w:rsidDel="00000000" w:rsidR="00000000" w:rsidRPr="00000000">
        <w:rPr>
          <w:rFonts w:ascii="Arial" w:cs="Arial" w:eastAsia="Arial" w:hAnsi="Arial"/>
          <w:b w:val="0"/>
          <w:bCs w:val="0"/>
          <w:i w:val="1"/>
          <w:iCs w:val="1"/>
          <w:sz w:val="24"/>
          <w:szCs w:val="24"/>
          <w:rtl w:val="0"/>
        </w:rPr>
        <w:t xml:space="preserve">Ustanovení § 1827 odst. 2 občanského zákoníku: „Uzavírá-li se smlouva za použití elektronických prostředků, poskytne podnikatel spotřebiteli v textové podobě kromě znění smlouvy i znění všeobecných obchodních podmínek.“ Textová podoba je zachována, jsou-li údaje poskytnuty takovým způsobem, že je lze uchovat a opakovaně zobrazovat. Podle rozhodnutí Soudního dvora EU nepostačuje pouhé uvedení podmínek na webové stránce.</w:t>
      </w:r>
      <w:r w:rsidDel="00000000" w:rsidR="00000000" w:rsidRPr="00000000">
        <w:rPr>
          <w:rFonts w:ascii="Arial" w:cs="Arial" w:eastAsia="Arial" w:hAnsi="Arial"/>
          <w:b w:val="0"/>
          <w:bCs w:val="0"/>
          <w:sz w:val="24"/>
          <w:szCs w:val="24"/>
          <w:rtl w:val="0"/>
        </w:rPr>
        <w:t xml:space="preserve">3.1. Veškerá prezentace zboží umístěná ve webovém rozhraní obchodu je informativního charakteru a prodávající není povinen uzavřít kupní smlouvu ohledně tohoto zboží. Ustanovení § 1732 odst. 2 občanského zákoníku se nepoužije.3.2. Webové rozhraní obchodu obsahuje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r w:rsidDel="00000000" w:rsidR="00000000" w:rsidRPr="00000000">
        <w:rPr>
          <w:rFonts w:ascii="Arial" w:cs="Arial" w:eastAsia="Arial" w:hAnsi="Arial"/>
          <w:b w:val="0"/>
          <w:bCs w:val="0"/>
          <w:i w:val="1"/>
          <w:iCs w:val="1"/>
          <w:sz w:val="24"/>
          <w:szCs w:val="24"/>
          <w:rtl w:val="0"/>
        </w:rPr>
        <w:t xml:space="preserve">Ustanovení § 1811 odst. 2 občanského zákoníku: „Směřuje-li jednání stran k uzavření smlouvy a tyto skutečnosti nejsou zřejmé ze souvislostí, sdělí podnikatel spotřebiteli v dostatečném předstihu před uzavřením smlouvy nebo před tím, než spotřebitel učiní závaznou nabídku…</w:t>
        <w:br w:type="textWrapping"/>
        <w:t xml:space="preserve">b) označení zboží nebo služby a popis jejich hlavních vlastností,</w:t>
        <w:br w:type="textWrapping"/>
        <w:t xml:space="preserve">c) cenu zboží nebo služby, případně způsob jejího výpočtu včetně všech daní a poplatků,</w:t>
        <w:br w:type="textWrapping"/>
        <w:t xml:space="preserve">d) způsob platby a způsob dodání nebo plnění…Ustanovení § 12 odst. 2 zákona o ochraně spotřebitele: „Informace o ceně nebo okolnost, že informace je neúplná anebo chybí, nesmí zejména vzbuzovat zdání, že: a) cena je nižší, než jaká je ve skutečnosti, b) stanovení ceny závisí na okolnostech, na nichž ve skutečnosti nezávisí, c) v ceně jsou zahrnuty dodávky výrobků, výkonů, prací nebo služeb, za které se ve skutečnosti platí zvlášť, d) cena byla nebo bude zvýšena, snížena nebo nezměněna, i když tomu tak není, e) vztah ceny a užitečnosti nabízeného výrobku nebo služby a ceny a užitečnosti srovnatelného výrobku nebo služby je takový, jaký ve skutečnosti není.“Ustanovení § 11a zákona o ochraně spotřebitele: „Při prodeji zboží nebo poskytování služeb elektronickými prostředky prostřednictvím internetových stránek je prodávající povinen spotřebitele předem zřetelným způsobem informovat o tom, zda platí nějaká omezení pro dodání zboží nebo poskytnutí …“</w:t>
      </w:r>
      <w:r w:rsidDel="00000000" w:rsidR="00000000" w:rsidRPr="00000000">
        <w:rPr>
          <w:rtl w:val="0"/>
        </w:rPr>
      </w:r>
    </w:p>
    <w:p w:rsidR="00000000" w:rsidDel="00000000" w:rsidP="00000000" w:rsidRDefault="00000000" w:rsidRPr="00000000" w14:paraId="00000029">
      <w:pPr>
        <w:pStyle w:val="Heading2"/>
        <w:numPr>
          <w:ilvl w:val="0"/>
          <w:numId w:val="1"/>
        </w:numPr>
        <w:spacing w:line="276" w:lineRule="auto"/>
        <w:ind w:left="709"/>
        <w:rPr>
          <w:rFonts w:ascii="Arial" w:cs="Arial" w:eastAsia="Arial" w:hAnsi="Arial"/>
          <w:sz w:val="30"/>
          <w:szCs w:val="30"/>
        </w:rPr>
      </w:pPr>
      <w:bookmarkStart w:colFirst="0" w:colLast="0" w:name="_heading=h.vc51efr5w2a2" w:id="22"/>
      <w:bookmarkEnd w:id="22"/>
      <w:r w:rsidDel="00000000" w:rsidR="00000000" w:rsidRPr="00000000">
        <w:rPr>
          <w:rFonts w:ascii="Arial" w:cs="Arial" w:eastAsia="Arial" w:hAnsi="Arial"/>
          <w:sz w:val="30"/>
          <w:szCs w:val="30"/>
          <w:rtl w:val="0"/>
        </w:rPr>
        <w:t xml:space="preserve">Závěrečná ustanovení</w:t>
      </w:r>
      <w:r w:rsidDel="00000000" w:rsidR="00000000" w:rsidRPr="00000000">
        <w:rPr>
          <w:rtl w:val="0"/>
        </w:rPr>
      </w:r>
    </w:p>
    <w:p w:rsidR="00000000" w:rsidDel="00000000" w:rsidP="00000000" w:rsidRDefault="00000000" w:rsidRPr="00000000" w14:paraId="0000002A">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Pokud právní vztah založený na základě těchto podmínek obsahuje mezinárodní (zahraniční) prvek, pak se tento vztah se řídí českým právem.</w:t>
      </w:r>
    </w:p>
    <w:p w:rsidR="00000000" w:rsidDel="00000000" w:rsidP="00000000" w:rsidRDefault="00000000" w:rsidRPr="00000000" w14:paraId="0000002B">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Pro projednání jakýchkoliv sporů mezi organizací a členem vyplývajících z právních vztahů založených na základě těchto podmínek je dána pravomoc soudů České republiky s místní příslušností dle sídla organizace.</w:t>
      </w:r>
    </w:p>
    <w:p w:rsidR="00000000" w:rsidDel="00000000" w:rsidP="00000000" w:rsidRDefault="00000000" w:rsidRPr="00000000" w14:paraId="0000002C">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Je-li některé ustanovení těchto podmínek neplatné nebo neúčinné, nebo se takovým stane, namísto neplatných ustanovení nastoupí ustanovení, jehož smysl se neplatnému ustanovení co nejvíce přibližuje. Neplatností nebo neúčinností jednoho ustanovení těchto podmínek není dotčena platnost ostatních ustanovení těchto podmínek.</w:t>
      </w:r>
    </w:p>
    <w:p w:rsidR="00000000" w:rsidDel="00000000" w:rsidP="00000000" w:rsidRDefault="00000000" w:rsidRPr="00000000" w14:paraId="0000002D">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Organizace je oprávněna tyto podmínky kdykoliv jednostranně změnit. V takovém případě zveřejní nové znění podmínek na webu a informuje své členy. </w:t>
      </w:r>
    </w:p>
    <w:p w:rsidR="00000000" w:rsidDel="00000000" w:rsidP="00000000" w:rsidRDefault="00000000" w:rsidRPr="00000000" w14:paraId="0000002E">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Kontaktní údaje organizace jsou:</w:t>
      </w:r>
    </w:p>
    <w:p w:rsidR="00000000" w:rsidDel="00000000" w:rsidP="00000000" w:rsidRDefault="00000000" w:rsidRPr="00000000" w14:paraId="0000002F">
      <w:pPr>
        <w:numPr>
          <w:ilvl w:val="3"/>
          <w:numId w:val="1"/>
        </w:numPr>
        <w:spacing w:line="276" w:lineRule="auto"/>
        <w:ind w:left="1697" w:hanging="121.99999999999989"/>
        <w:rPr>
          <w:rFonts w:ascii="Arial" w:cs="Arial" w:eastAsia="Arial" w:hAnsi="Arial"/>
        </w:rPr>
      </w:pPr>
      <w:r w:rsidDel="00000000" w:rsidR="00000000" w:rsidRPr="00000000">
        <w:rPr>
          <w:rFonts w:ascii="Arial" w:cs="Arial" w:eastAsia="Arial" w:hAnsi="Arial"/>
          <w:vertAlign w:val="baseline"/>
          <w:rtl w:val="0"/>
        </w:rPr>
        <w:t xml:space="preserve">e-mail: </w:t>
      </w:r>
      <w:hyperlink r:id="rId8">
        <w:r w:rsidDel="00000000" w:rsidR="00000000" w:rsidRPr="00000000">
          <w:rPr>
            <w:rFonts w:ascii="Arial" w:cs="Arial" w:eastAsia="Arial" w:hAnsi="Arial"/>
            <w:color w:val="1155cc"/>
            <w:u w:val="single"/>
            <w:rtl w:val="0"/>
          </w:rPr>
          <w:t xml:space="preserve">mkopecek@gmail.com</w:t>
        </w:r>
      </w:hyperlink>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1155cc"/>
            <w:u w:val="single"/>
            <w:rtl w:val="0"/>
          </w:rPr>
          <w:t xml:space="preserve">radimhynek2@gmail.com</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0">
      <w:pPr>
        <w:numPr>
          <w:ilvl w:val="3"/>
          <w:numId w:val="1"/>
        </w:numPr>
        <w:spacing w:line="276" w:lineRule="auto"/>
        <w:ind w:left="1697" w:hanging="121.99999999999989"/>
        <w:rPr>
          <w:rFonts w:ascii="Arial" w:cs="Arial" w:eastAsia="Arial" w:hAnsi="Arial"/>
        </w:rPr>
      </w:pPr>
      <w:r w:rsidDel="00000000" w:rsidR="00000000" w:rsidRPr="00000000">
        <w:rPr>
          <w:rFonts w:ascii="Arial" w:cs="Arial" w:eastAsia="Arial" w:hAnsi="Arial"/>
          <w:vertAlign w:val="baseline"/>
          <w:rtl w:val="0"/>
        </w:rPr>
        <w:t xml:space="preserve">telefon: +420 </w:t>
      </w:r>
      <w:r w:rsidDel="00000000" w:rsidR="00000000" w:rsidRPr="00000000">
        <w:rPr>
          <w:rFonts w:ascii="Arial" w:cs="Arial" w:eastAsia="Arial" w:hAnsi="Arial"/>
          <w:rtl w:val="0"/>
        </w:rPr>
        <w:t xml:space="preserve">776 463 261</w:t>
      </w:r>
      <w:r w:rsidDel="00000000" w:rsidR="00000000" w:rsidRPr="00000000">
        <w:rPr>
          <w:rtl w:val="0"/>
        </w:rPr>
      </w:r>
    </w:p>
    <w:p w:rsidR="00000000" w:rsidDel="00000000" w:rsidP="00000000" w:rsidRDefault="00000000" w:rsidRPr="00000000" w14:paraId="00000031">
      <w:pPr>
        <w:numPr>
          <w:ilvl w:val="1"/>
          <w:numId w:val="1"/>
        </w:numPr>
        <w:spacing w:line="276" w:lineRule="auto"/>
        <w:ind w:left="709"/>
        <w:rPr>
          <w:rFonts w:ascii="Arial" w:cs="Arial" w:eastAsia="Arial" w:hAnsi="Arial"/>
        </w:rPr>
      </w:pPr>
      <w:r w:rsidDel="00000000" w:rsidR="00000000" w:rsidRPr="00000000">
        <w:rPr>
          <w:rFonts w:ascii="Arial" w:cs="Arial" w:eastAsia="Arial" w:hAnsi="Arial"/>
          <w:vertAlign w:val="baseline"/>
          <w:rtl w:val="0"/>
        </w:rPr>
        <w:t xml:space="preserve">Tyto podmínky jsou vyhotoveny s účinností od </w:t>
      </w:r>
      <w:r w:rsidDel="00000000" w:rsidR="00000000" w:rsidRPr="00000000">
        <w:rPr>
          <w:rFonts w:ascii="Arial" w:cs="Arial" w:eastAsia="Arial" w:hAnsi="Arial"/>
          <w:rtl w:val="0"/>
        </w:rPr>
        <w:t xml:space="preserve">15.1.2026</w:t>
      </w:r>
      <w:r w:rsidDel="00000000" w:rsidR="00000000" w:rsidRPr="00000000">
        <w:rPr>
          <w:rtl w:val="0"/>
        </w:rPr>
      </w:r>
    </w:p>
    <w:p w:rsidR="00000000" w:rsidDel="00000000" w:rsidP="00000000" w:rsidRDefault="00000000" w:rsidRPr="00000000" w14:paraId="00000032">
      <w:pPr>
        <w:spacing w:line="276" w:lineRule="auto"/>
        <w:rPr>
          <w:rFonts w:ascii="Arial" w:cs="Arial" w:eastAsia="Arial" w:hAnsi="Arial"/>
        </w:rPr>
      </w:pPr>
      <w:r w:rsidDel="00000000" w:rsidR="00000000" w:rsidRPr="00000000">
        <w:rPr>
          <w:rFonts w:ascii="Arial" w:cs="Arial" w:eastAsia="Arial" w:hAnsi="Arial"/>
          <w:rtl w:val="0"/>
        </w:rPr>
        <w:t xml:space="preserve">Radim Hynek</w:t>
      </w:r>
    </w:p>
    <w:p w:rsidR="00000000" w:rsidDel="00000000" w:rsidP="00000000" w:rsidRDefault="00000000" w:rsidRPr="00000000" w14:paraId="00000033">
      <w:pPr>
        <w:spacing w:line="276" w:lineRule="auto"/>
        <w:rPr>
          <w:rFonts w:ascii="Arial" w:cs="Arial" w:eastAsia="Arial" w:hAnsi="Arial"/>
        </w:rPr>
      </w:pPr>
      <w:r w:rsidDel="00000000" w:rsidR="00000000" w:rsidRPr="00000000">
        <w:rPr>
          <w:rFonts w:ascii="Arial" w:cs="Arial" w:eastAsia="Arial" w:hAnsi="Arial"/>
          <w:rtl w:val="0"/>
        </w:rPr>
        <w:t xml:space="preserve">VO Slezská Orlice, z. s. </w:t>
      </w:r>
    </w:p>
    <w:sectPr>
      <w:headerReference r:id="rId10" w:type="default"/>
      <w:footerReference r:id="rId11" w:type="default"/>
      <w:pgSz w:h="16820" w:w="11900" w:orient="portrait"/>
      <w:pgMar w:bottom="1134"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Všeobecné platební podmínky</w:t>
      <w:tab/>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b w:val="1"/>
        <w:bCs w:val="1"/>
        <w:i w:val="0"/>
        <w:iCs w:val="0"/>
        <w:smallCaps w:val="0"/>
        <w:strike w:val="0"/>
        <w:color w:val="000000"/>
        <w:sz w:val="46"/>
        <w:szCs w:val="46"/>
        <w:u w:val="none"/>
        <w:shd w:fill="auto" w:val="clear"/>
        <w:vertAlign w:val="baseline"/>
      </w:rPr>
    </w:pPr>
    <w:r w:rsidDel="00000000" w:rsidR="00000000" w:rsidRPr="00000000">
      <w:rPr>
        <w:b w:val="1"/>
        <w:bCs w:val="1"/>
        <w:sz w:val="46"/>
        <w:szCs w:val="46"/>
        <w:rtl w:val="0"/>
      </w:rPr>
      <w:t xml:space="preserve">Všeobecné obchodní a platební podmínky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709"/>
      </w:pPr>
      <w:rPr>
        <w:b w:val="1"/>
        <w:bCs w:val="1"/>
        <w:smallCaps w:val="0"/>
        <w:strike w:val="0"/>
        <w:shd w:fill="auto" w:val="clear"/>
        <w:vertAlign w:val="baseline"/>
      </w:rPr>
    </w:lvl>
    <w:lvl w:ilvl="1">
      <w:start w:val="1"/>
      <w:numFmt w:val="decimal"/>
      <w:lvlText w:val="%1.%2."/>
      <w:lvlJc w:val="left"/>
      <w:pPr>
        <w:ind w:left="709" w:hanging="709"/>
      </w:pPr>
      <w:rPr>
        <w:b w:val="1"/>
        <w:bCs w:val="1"/>
        <w:smallCaps w:val="0"/>
        <w:strike w:val="0"/>
        <w:shd w:fill="auto" w:val="clear"/>
        <w:vertAlign w:val="baseline"/>
      </w:rPr>
    </w:lvl>
    <w:lvl w:ilvl="2">
      <w:start w:val="1"/>
      <w:numFmt w:val="decimal"/>
      <w:lvlText w:val="%1.%2.%3."/>
      <w:lvlJc w:val="left"/>
      <w:pPr>
        <w:ind w:left="1418" w:hanging="709"/>
      </w:pPr>
      <w:rPr>
        <w:b w:val="1"/>
        <w:bCs w:val="1"/>
        <w:smallCaps w:val="0"/>
        <w:strike w:val="0"/>
        <w:shd w:fill="auto" w:val="clear"/>
        <w:vertAlign w:val="baseline"/>
      </w:rPr>
    </w:lvl>
    <w:lvl w:ilvl="3">
      <w:start w:val="1"/>
      <w:numFmt w:val="decimal"/>
      <w:lvlText w:val="%1.%2.%3.%4."/>
      <w:lvlJc w:val="left"/>
      <w:pPr>
        <w:ind w:left="1697" w:hanging="122"/>
      </w:pPr>
      <w:rPr>
        <w:b w:val="1"/>
        <w:bCs w:val="1"/>
        <w:smallCaps w:val="0"/>
        <w:strike w:val="0"/>
        <w:shd w:fill="auto" w:val="clear"/>
        <w:vertAlign w:val="baseline"/>
      </w:rPr>
    </w:lvl>
    <w:lvl w:ilvl="4">
      <w:start w:val="1"/>
      <w:numFmt w:val="lowerLetter"/>
      <w:lvlText w:val="%1.%2.%3.%4.%5."/>
      <w:lvlJc w:val="left"/>
      <w:pPr>
        <w:ind w:left="2429" w:hanging="122"/>
      </w:pPr>
      <w:rPr>
        <w:b w:val="1"/>
        <w:bCs w:val="1"/>
        <w:smallCaps w:val="0"/>
        <w:strike w:val="0"/>
        <w:shd w:fill="auto" w:val="clear"/>
        <w:vertAlign w:val="baseline"/>
      </w:rPr>
    </w:lvl>
    <w:lvl w:ilvl="5">
      <w:start w:val="1"/>
      <w:numFmt w:val="lowerRoman"/>
      <w:lvlText w:val="%1.%2.%3.%4.%5.%6."/>
      <w:lvlJc w:val="left"/>
      <w:pPr>
        <w:ind w:left="3219" w:hanging="122"/>
      </w:pPr>
      <w:rPr>
        <w:b w:val="1"/>
        <w:bCs w:val="1"/>
        <w:smallCaps w:val="0"/>
        <w:strike w:val="0"/>
        <w:shd w:fill="auto" w:val="clear"/>
        <w:vertAlign w:val="baseline"/>
      </w:rPr>
    </w:lvl>
    <w:lvl w:ilvl="6">
      <w:start w:val="1"/>
      <w:numFmt w:val="decimal"/>
      <w:lvlText w:val="%1.%2.%3.%4.%5.%6.%7."/>
      <w:lvlJc w:val="left"/>
      <w:pPr>
        <w:ind w:left="3893" w:hanging="122"/>
      </w:pPr>
      <w:rPr>
        <w:b w:val="1"/>
        <w:bCs w:val="1"/>
        <w:smallCaps w:val="0"/>
        <w:strike w:val="0"/>
        <w:shd w:fill="auto" w:val="clear"/>
        <w:vertAlign w:val="baseline"/>
      </w:rPr>
    </w:lvl>
    <w:lvl w:ilvl="7">
      <w:start w:val="1"/>
      <w:numFmt w:val="lowerLetter"/>
      <w:lvlText w:val="%1.%2.%3.%4.%5.%6.%7.%8."/>
      <w:lvlJc w:val="left"/>
      <w:pPr>
        <w:ind w:left="4625" w:hanging="122"/>
      </w:pPr>
      <w:rPr>
        <w:b w:val="1"/>
        <w:bCs w:val="1"/>
        <w:smallCaps w:val="0"/>
        <w:strike w:val="0"/>
        <w:shd w:fill="auto" w:val="clear"/>
        <w:vertAlign w:val="baseline"/>
      </w:rPr>
    </w:lvl>
    <w:lvl w:ilvl="8">
      <w:start w:val="1"/>
      <w:numFmt w:val="lowerRoman"/>
      <w:lvlText w:val="%1.%2.%3.%4.%5.%6.%7.%8.%9."/>
      <w:lvlJc w:val="left"/>
      <w:pPr>
        <w:ind w:left="5415" w:hanging="122"/>
      </w:pPr>
      <w:rPr>
        <w:b w:val="1"/>
        <w:bCs w:val="1"/>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Záhlaví a zápatí">
    <w:name w:val="Záhlaví a zápatí"/>
    <w:next w:val="Záhlaví a zápatí"/>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Footer - numbers">
    <w:name w:val="Footer - numbers"/>
    <w:next w:val="Footer - numbers"/>
    <w:pPr>
      <w:keepNext w:val="0"/>
      <w:keepLines w:val="0"/>
      <w:pageBreakBefore w:val="0"/>
      <w:widowControl w:val="1"/>
      <w:shd w:color="auto" w:fill="auto" w:val="clear"/>
      <w:suppressAutoHyphens w:val="0"/>
      <w:bidi w:val="0"/>
      <w:spacing w:after="0" w:before="0" w:line="240" w:lineRule="auto"/>
      <w:ind w:left="0" w:right="0" w:firstLine="0"/>
      <w:jc w:val="both"/>
      <w:outlineLvl w:val="9"/>
    </w:pPr>
    <w:rPr>
      <w:rFonts w:ascii="Cambria" w:cs="Arial Unicode MS" w:eastAsia="Arial Unicode MS" w:hAnsi="Cambria"/>
      <w:b w:val="0"/>
      <w:bCs w:val="0"/>
      <w:i w:val="0"/>
      <w:iCs w:val="0"/>
      <w:caps w:val="0"/>
      <w:smallCaps w:val="0"/>
      <w:strike w:val="0"/>
      <w:dstrike w:val="0"/>
      <w:outline w:val="0"/>
      <w:color w:val="000000"/>
      <w:spacing w:val="0"/>
      <w:kern w:val="0"/>
      <w:position w:val="0"/>
      <w:sz w:val="20"/>
      <w:szCs w:val="20"/>
      <w:u w:color="000000" w:val="none"/>
      <w:shd w:color="auto" w:fill="auto" w:val="nil"/>
      <w:vertAlign w:val="baseline"/>
      <w14:textFill>
        <w14:solidFill>
          <w14:srgbClr w14:val="000000"/>
        </w14:solidFill>
      </w14:textFill>
    </w:rPr>
  </w:style>
  <w:style w:type="paragraph" w:styleId="Nazev">
    <w:name w:val="Nazev"/>
    <w:next w:val="Normal.0"/>
    <w:pPr>
      <w:keepNext w:val="0"/>
      <w:keepLines w:val="0"/>
      <w:pageBreakBefore w:val="0"/>
      <w:widowControl w:val="1"/>
      <w:pBdr>
        <w:top w:space="0" w:sz="0" w:val="nil"/>
        <w:left w:space="0" w:sz="0" w:val="nil"/>
        <w:bottom w:color="1abbb8" w:space="0" w:sz="4" w:val="single"/>
        <w:right w:space="0" w:sz="0" w:val="nil"/>
      </w:pBdr>
      <w:shd w:color="auto" w:fill="auto" w:val="clear"/>
      <w:suppressAutoHyphens w:val="0"/>
      <w:bidi w:val="0"/>
      <w:spacing w:after="240" w:before="240" w:line="288" w:lineRule="auto"/>
      <w:ind w:left="0" w:right="0" w:firstLine="0"/>
      <w:jc w:val="center"/>
      <w:outlineLvl w:val="9"/>
    </w:pPr>
    <w:rPr>
      <w:rFonts w:ascii="Cambria" w:cs="Cambria" w:eastAsia="Cambria" w:hAnsi="Cambria"/>
      <w:b w:val="0"/>
      <w:bCs w:val="0"/>
      <w:i w:val="0"/>
      <w:iCs w:val="0"/>
      <w:caps w:val="1"/>
      <w:strike w:val="0"/>
      <w:dstrike w:val="0"/>
      <w:outline w:val="0"/>
      <w:color w:val="000000"/>
      <w:spacing w:val="0"/>
      <w:kern w:val="0"/>
      <w:position w:val="0"/>
      <w:sz w:val="28"/>
      <w:szCs w:val="28"/>
      <w:u w:color="000000" w:val="none"/>
      <w:shd w:color="auto" w:fill="auto" w:val="nil"/>
      <w:vertAlign w:val="baseline"/>
      <w14:textFill>
        <w14:solidFill>
          <w14:srgbClr w14:val="000000"/>
        </w14:solidFill>
      </w14:textFill>
    </w:rPr>
  </w:style>
  <w:style w:type="paragraph" w:styleId="Articles Header">
    <w:name w:val="Articles Header"/>
    <w:next w:val="Articles content"/>
    <w:pPr>
      <w:keepNext w:val="1"/>
      <w:keepLines w:val="0"/>
      <w:pageBreakBefore w:val="0"/>
      <w:widowControl w:val="1"/>
      <w:shd w:color="auto" w:fill="auto" w:val="clear"/>
      <w:suppressAutoHyphens w:val="0"/>
      <w:bidi w:val="0"/>
      <w:spacing w:after="120" w:before="240" w:line="240" w:lineRule="auto"/>
      <w:ind w:left="0" w:right="0" w:firstLine="0"/>
      <w:jc w:val="both"/>
      <w:outlineLvl w:val="9"/>
    </w:pPr>
    <w:rPr>
      <w:rFonts w:ascii="Cambria" w:cs="Arial Unicode MS" w:eastAsia="Arial Unicode MS" w:hAnsi="Cambria" w:hint="default"/>
      <w:b w:val="0"/>
      <w:bCs w:val="0"/>
      <w:i w:val="0"/>
      <w:iCs w:val="0"/>
      <w:caps w:val="1"/>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rPr>
  </w:style>
  <w:style w:type="paragraph" w:styleId="Articles content">
    <w:name w:val="Articles content"/>
    <w:next w:val="Articles content"/>
    <w:pPr>
      <w:keepNext w:val="0"/>
      <w:keepLines w:val="0"/>
      <w:pageBreakBefore w:val="0"/>
      <w:widowControl w:val="1"/>
      <w:shd w:color="auto" w:fill="auto" w:val="clear"/>
      <w:suppressAutoHyphens w:val="0"/>
      <w:bidi w:val="0"/>
      <w:spacing w:after="120" w:before="0" w:line="240" w:lineRule="auto"/>
      <w:ind w:left="0" w:right="0" w:firstLine="0"/>
      <w:jc w:val="both"/>
      <w:outlineLvl w:val="9"/>
    </w:pPr>
    <w:rPr>
      <w:rFonts w:ascii="Cambria" w:cs="Arial Unicode MS" w:eastAsia="Arial Unicode MS" w:hAnsi="Cambria" w:hint="default"/>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rPr>
  </w:style>
  <w:style w:type="numbering" w:styleId="Importovaný styl 4">
    <w:name w:val="Importovaný styl 4"/>
    <w:pPr>
      <w:numPr>
        <w:numId w:val="1"/>
      </w:numPr>
    </w:pPr>
  </w:style>
  <w:style w:type="paragraph" w:styleId="Sub-articles">
    <w:name w:val="Sub-articles"/>
    <w:next w:val="Sub-articles"/>
    <w:pPr>
      <w:keepNext w:val="0"/>
      <w:keepLines w:val="0"/>
      <w:pageBreakBefore w:val="0"/>
      <w:widowControl w:val="1"/>
      <w:shd w:color="auto" w:fill="auto" w:val="clear"/>
      <w:suppressAutoHyphens w:val="0"/>
      <w:bidi w:val="0"/>
      <w:spacing w:after="120" w:before="0" w:line="240" w:lineRule="auto"/>
      <w:ind w:left="0" w:right="0" w:firstLine="0"/>
      <w:jc w:val="both"/>
      <w:outlineLvl w:val="0"/>
    </w:pPr>
    <w:rPr>
      <w:rFonts w:ascii="Cambria" w:cs="Cambria" w:eastAsia="Cambria" w:hAnsi="Cambria"/>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rPr>
  </w:style>
  <w:style w:type="character" w:styleId="Žádný">
    <w:name w:val="Žádný"/>
  </w:style>
  <w:style w:type="character" w:styleId="Hyperlink.0">
    <w:name w:val="Hyperlink.0"/>
    <w:basedOn w:val="Žádný"/>
    <w:next w:val="Hyperlink.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radimhynek2@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lub.voslezskaorlice.cz" TargetMode="External"/><Relationship Id="rId8" Type="http://schemas.openxmlformats.org/officeDocument/2006/relationships/hyperlink" Target="mailto:mkopecek@gmail.com" TargetMode="External"/></Relationships>
</file>

<file path=word/theme/theme1.xml><?xml version="1.0" encoding="utf-8"?>
<a:theme xmlns:a="http://schemas.openxmlformats.org/drawingml/2006/main" xmlns:r="http://schemas.openxmlformats.org/officeDocument/2006/relationships"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CfNZIYaDqs5G9CyDBCZeRIxuw==">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